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80"/>
        <w:tblW w:w="10990" w:type="dxa"/>
        <w:tblLook w:val="04A0"/>
      </w:tblPr>
      <w:tblGrid>
        <w:gridCol w:w="427"/>
        <w:gridCol w:w="742"/>
        <w:gridCol w:w="4751"/>
        <w:gridCol w:w="4392"/>
        <w:gridCol w:w="678"/>
      </w:tblGrid>
      <w:tr w:rsidR="00BC514A" w:rsidRPr="00ED4C44" w:rsidTr="0069688F">
        <w:trPr>
          <w:trHeight w:val="94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客户填写栏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您目前的个人及家庭财务状况属于以下哪一种：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有较大数额未到期负债(2分) □ 收支相抵(4分) □ 有一定积蓄(6分)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有较为丰厚的积蓄并有一定的投资(8分) □ 比较富裕且有相当的投资(10分)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BC514A" w:rsidRPr="00ED4C44" w:rsidTr="0069688F">
        <w:trPr>
          <w:trHeight w:val="9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您个人目前已经或者准备委托的财产占</w:t>
            </w:r>
            <w:proofErr w:type="gramStart"/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您或者</w:t>
            </w:r>
            <w:proofErr w:type="gramEnd"/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家庭所拥有总资产的比重是多少(备注：总资产包括存款、证券投资、房地产及实业等)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80-100%(2分) □ 60-80%(4分) □ 40-60%(6分) □ 20-40%(8分) □ 0-20% (10分)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66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您计划的投资期限多长：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少于1年(2分) □ 1年(4分) □ 1-3年(6分) □ 3-5年(8分) □ 5年以上(10分)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8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ED4C44">
            <w:pPr>
              <w:widowControl/>
              <w:ind w:leftChars="-16" w:left="-34" w:firstLineChars="16" w:firstLine="34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您是否有过股票与基金的投资经历，如有，投资时间是多长：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没有(2分) □ 有，但是少于 3年(4分)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有，在 3－5 年之间(6分) □ 有，在5－10年之间(8分) □ 有，长于10年(10分)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6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您参与资产管理计划主要用于什么目的：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□现金管理(2分) □生活保障(4分) □养老(6分) □子女教育(8分) □资产增值(10分)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120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您希望获得的年收益率是多少：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相当于储蓄存款收益率(2分) □ 相当于通货膨胀率(4分)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高于通货膨胀率，只要保值并略有增值即可(6分)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接近或相当于股票市场平均收益率(8分) □ 大大超过股票市场平均收益率(10分)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10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以下几种投资模式，您更偏好哪种模式：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最高收益5%，不亏损(2分) □ 可能最高收益是15%，可能最高亏损是5%(4分)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可能最高收益是30%，可能最高亏损是15%(6分) □ 可能最高收益60%，可能最高亏损30%(8分) □ 可能最高收益100%，可能最高亏损 80%(10分)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88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如果您获奖了，您愿意选择哪种获奖方式：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100%机会获得20万现金(2分) □ 70%机会获得50万的现金(4分) □ 50%机会获得80万的现金(6分) □ 30%机会获得100万现金(8分) □ 10%机会获得300万的现金(10分)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118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如果您的股票型基金投资暂时亏损了30％，您怎么办：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无法承受风险，准备赎回或卖掉(2分) □ 3个月到6个月内如果还是亏损30％，就准备赎回或卖掉(4分) □ 1年之内还是亏损30％，就准备赎回或卖掉(6分)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2-3年之内都可以持有，等待机会(8分) □ 没关系，可以长期持有，等待机会(10分)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9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您的家人或朋友认为您在专户投资中是什么样的风险承担者：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无法承受风险(2分) □厌恶风险但愿意承担一定的风险(4分) □ 在深思熟虑后愿意承担相当的风险(6分) □ 敢冒风险，比较激进(8分) □ 爱好风险，相当激进(10分)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BC514A" w:rsidRPr="00ED4C44" w:rsidTr="0069688F">
        <w:trPr>
          <w:trHeight w:val="10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确认栏</w:t>
            </w:r>
          </w:p>
        </w:tc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A6B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DE9D9" w:themeFill="accent6" w:themeFillTint="33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本人确认以上风险收益特征调查的选择为本人真实的意思表示,并认为结果符合本人的特征。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                                    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                                         确认人(签字)：</w:t>
            </w:r>
          </w:p>
          <w:tbl>
            <w:tblPr>
              <w:tblW w:w="9609" w:type="dxa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ook w:val="01E0"/>
            </w:tblPr>
            <w:tblGrid>
              <w:gridCol w:w="1694"/>
              <w:gridCol w:w="1694"/>
              <w:gridCol w:w="1695"/>
              <w:gridCol w:w="4526"/>
            </w:tblGrid>
            <w:tr w:rsidR="004F1A6B" w:rsidRPr="0012760F" w:rsidTr="004F1A6B">
              <w:tc>
                <w:tcPr>
                  <w:tcW w:w="1694" w:type="dxa"/>
                  <w:shd w:val="clear" w:color="auto" w:fill="FFFF99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保守型(20-46分)</w:t>
                  </w:r>
                </w:p>
              </w:tc>
              <w:tc>
                <w:tcPr>
                  <w:tcW w:w="1694" w:type="dxa"/>
                  <w:shd w:val="clear" w:color="auto" w:fill="FFCC66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稳健型(47-76分)</w:t>
                  </w:r>
                </w:p>
              </w:tc>
              <w:tc>
                <w:tcPr>
                  <w:tcW w:w="1695" w:type="dxa"/>
                  <w:shd w:val="clear" w:color="auto" w:fill="FF6600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积极型(77-100分)</w:t>
                  </w:r>
                </w:p>
              </w:tc>
              <w:tc>
                <w:tcPr>
                  <w:tcW w:w="4526" w:type="dxa"/>
                  <w:shd w:val="clear" w:color="auto" w:fill="auto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  <w:r w:rsidR="00510EF5">
                    <w:rPr>
                      <w:rFonts w:ascii="宋体" w:hAnsi="宋体" w:hint="eastAsia"/>
                      <w:sz w:val="18"/>
                      <w:szCs w:val="18"/>
                    </w:rPr>
                    <w:t xml:space="preserve"> </w:t>
                  </w:r>
                  <w:r w:rsidR="004B0F42">
                    <w:rPr>
                      <w:rFonts w:ascii="宋体" w:hAnsi="宋体" w:hint="eastAsia"/>
                      <w:sz w:val="18"/>
                      <w:szCs w:val="18"/>
                    </w:rPr>
                    <w:t xml:space="preserve">  </w:t>
                  </w:r>
                  <w:r w:rsidRPr="00510EF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日期：    年   月</w:t>
                  </w:r>
                  <w:r w:rsidR="00510EF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   </w:t>
                  </w:r>
                  <w:r w:rsidRPr="00510EF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日</w:t>
                  </w:r>
                </w:p>
              </w:tc>
            </w:tr>
          </w:tbl>
          <w:p w:rsidR="00BC514A" w:rsidRPr="00ED4C44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</w:tr>
      <w:tr w:rsidR="00BC514A" w:rsidRPr="00ED4C44" w:rsidTr="0069688F">
        <w:trPr>
          <w:trHeight w:val="22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C514A" w:rsidRPr="00ED4C44" w:rsidRDefault="00BC514A" w:rsidP="00DB5C1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适合度匹配 确认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A6B" w:rsidRDefault="00BC514A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该产品与本人的风险收益特征匹配。本人已充分知晓并自愿承担本产品的风险。</w:t>
            </w: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</w:t>
            </w:r>
          </w:p>
          <w:p w:rsidR="00BC514A" w:rsidRDefault="00BC514A" w:rsidP="004F1A6B">
            <w:pPr>
              <w:widowControl/>
              <w:ind w:firstLineChars="1000" w:firstLine="210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   确认人（签字）：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   </w:t>
            </w:r>
            <w:r w:rsidR="004F1A6B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日期：   年   月   日</w:t>
            </w:r>
          </w:p>
          <w:tbl>
            <w:tblPr>
              <w:tblW w:w="0" w:type="auto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ook w:val="01E0"/>
            </w:tblPr>
            <w:tblGrid>
              <w:gridCol w:w="1348"/>
              <w:gridCol w:w="1348"/>
              <w:gridCol w:w="1809"/>
            </w:tblGrid>
            <w:tr w:rsidR="004F1A6B" w:rsidRPr="0012760F" w:rsidTr="004F1A6B">
              <w:tc>
                <w:tcPr>
                  <w:tcW w:w="1348" w:type="dxa"/>
                  <w:shd w:val="clear" w:color="auto" w:fill="FFFF99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低风险</w:t>
                  </w:r>
                </w:p>
              </w:tc>
              <w:tc>
                <w:tcPr>
                  <w:tcW w:w="1348" w:type="dxa"/>
                  <w:shd w:val="clear" w:color="auto" w:fill="FFCC66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中风险</w:t>
                  </w:r>
                </w:p>
              </w:tc>
              <w:tc>
                <w:tcPr>
                  <w:tcW w:w="1809" w:type="dxa"/>
                  <w:shd w:val="clear" w:color="auto" w:fill="FF6600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高风险</w:t>
                  </w:r>
                </w:p>
              </w:tc>
            </w:tr>
          </w:tbl>
          <w:p w:rsidR="004F1A6B" w:rsidRPr="00ED4C44" w:rsidRDefault="004F1A6B" w:rsidP="00DB5C1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A6B" w:rsidRDefault="00BC514A" w:rsidP="004F1A6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该产品与本人的风险收益特征不匹配。</w:t>
            </w:r>
            <w:r w:rsidR="00F82F2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基金管理人</w:t>
            </w: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已建议本人慎重考虑，但本人仍坚持选择本产品，已充分知晓并自愿承担本产品的风险。</w:t>
            </w:r>
            <w:r w:rsidRPr="00ED4C4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</w:t>
            </w:r>
          </w:p>
          <w:p w:rsidR="004F1A6B" w:rsidRDefault="00BC514A" w:rsidP="004F1A6B">
            <w:pPr>
              <w:widowControl/>
              <w:ind w:firstLineChars="750" w:firstLine="1575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>确认人（签字）：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</w:t>
            </w:r>
            <w:r w:rsidR="00F82F26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ED4C44">
              <w:rPr>
                <w:rFonts w:ascii="仿宋" w:eastAsia="仿宋" w:hAnsi="仿宋" w:cs="宋体" w:hint="eastAsia"/>
                <w:kern w:val="0"/>
                <w:szCs w:val="21"/>
              </w:rPr>
              <w:t xml:space="preserve">日期：  年   月   日 </w:t>
            </w:r>
          </w:p>
          <w:tbl>
            <w:tblPr>
              <w:tblW w:w="0" w:type="auto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ook w:val="01E0"/>
            </w:tblPr>
            <w:tblGrid>
              <w:gridCol w:w="1348"/>
              <w:gridCol w:w="1348"/>
              <w:gridCol w:w="1809"/>
            </w:tblGrid>
            <w:tr w:rsidR="004F1A6B" w:rsidRPr="0012760F" w:rsidTr="00A01494">
              <w:tc>
                <w:tcPr>
                  <w:tcW w:w="1348" w:type="dxa"/>
                  <w:shd w:val="clear" w:color="auto" w:fill="FFFF99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低风险</w:t>
                  </w:r>
                </w:p>
              </w:tc>
              <w:tc>
                <w:tcPr>
                  <w:tcW w:w="1348" w:type="dxa"/>
                  <w:shd w:val="clear" w:color="auto" w:fill="FFCC66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中风险</w:t>
                  </w:r>
                </w:p>
              </w:tc>
              <w:tc>
                <w:tcPr>
                  <w:tcW w:w="1809" w:type="dxa"/>
                  <w:shd w:val="clear" w:color="auto" w:fill="FF6600"/>
                </w:tcPr>
                <w:p w:rsidR="004F1A6B" w:rsidRPr="0012760F" w:rsidRDefault="004F1A6B" w:rsidP="005904DB">
                  <w:pPr>
                    <w:framePr w:hSpace="180" w:wrap="around" w:vAnchor="page" w:hAnchor="margin" w:xAlign="center" w:y="228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高风险</w:t>
                  </w:r>
                </w:p>
              </w:tc>
            </w:tr>
          </w:tbl>
          <w:p w:rsidR="00BC514A" w:rsidRPr="00ED4C44" w:rsidRDefault="00BC514A" w:rsidP="004F1A6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DB5C18" w:rsidRPr="00ED4C44" w:rsidRDefault="00DB5C18" w:rsidP="00DB5C18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ED4C44">
        <w:rPr>
          <w:rFonts w:ascii="微软雅黑" w:eastAsia="微软雅黑" w:hAnsi="微软雅黑" w:hint="eastAsia"/>
          <w:b/>
          <w:sz w:val="30"/>
          <w:szCs w:val="30"/>
        </w:rPr>
        <w:t>风险收益特征调查（个人）</w:t>
      </w:r>
    </w:p>
    <w:sectPr w:rsidR="00DB5C18" w:rsidRPr="00ED4C44" w:rsidSect="0023230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D7" w:rsidRDefault="00621FD7" w:rsidP="00DB5C18">
      <w:r>
        <w:separator/>
      </w:r>
    </w:p>
  </w:endnote>
  <w:endnote w:type="continuationSeparator" w:id="0">
    <w:p w:rsidR="00621FD7" w:rsidRDefault="00621FD7" w:rsidP="00DB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D7" w:rsidRDefault="00621FD7" w:rsidP="00DB5C18">
      <w:r>
        <w:separator/>
      </w:r>
    </w:p>
  </w:footnote>
  <w:footnote w:type="continuationSeparator" w:id="0">
    <w:p w:rsidR="00621FD7" w:rsidRDefault="00621FD7" w:rsidP="00DB5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44" w:rsidRDefault="0069688F" w:rsidP="0069688F">
    <w:pPr>
      <w:pStyle w:val="a3"/>
      <w:jc w:val="left"/>
      <w:rPr>
        <w:rFonts w:ascii="仿宋" w:eastAsia="仿宋" w:hAnsi="仿宋"/>
      </w:rPr>
    </w:pPr>
    <w:r>
      <w:rPr>
        <w:rFonts w:ascii="仿宋" w:eastAsia="仿宋" w:hAnsi="仿宋" w:hint="eastAsia"/>
        <w:noProof/>
      </w:rPr>
      <w:drawing>
        <wp:inline distT="0" distB="0" distL="0" distR="0">
          <wp:extent cx="1149791" cy="348188"/>
          <wp:effectExtent l="1905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616" cy="351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4C44">
      <w:rPr>
        <w:rFonts w:ascii="仿宋" w:eastAsia="仿宋" w:hAnsi="仿宋" w:hint="eastAsia"/>
      </w:rPr>
      <w:t xml:space="preserve">           </w:t>
    </w:r>
    <w:r w:rsidR="005904DB">
      <w:rPr>
        <w:rFonts w:ascii="仿宋" w:eastAsia="仿宋" w:hAnsi="仿宋" w:hint="eastAsia"/>
      </w:rPr>
      <w:t xml:space="preserve">                               </w:t>
    </w:r>
    <w:r w:rsidRPr="005904DB">
      <w:rPr>
        <w:rFonts w:ascii="仿宋" w:eastAsia="仿宋" w:hAnsi="仿宋" w:hint="eastAsia"/>
        <w:sz w:val="21"/>
        <w:szCs w:val="21"/>
      </w:rPr>
      <w:t>上海复杉</w:t>
    </w:r>
    <w:r w:rsidR="00ED4C44" w:rsidRPr="005904DB">
      <w:rPr>
        <w:rFonts w:ascii="仿宋" w:eastAsia="仿宋" w:hAnsi="仿宋" w:hint="eastAsia"/>
        <w:sz w:val="21"/>
        <w:szCs w:val="21"/>
      </w:rPr>
      <w:t>投资管理有限公司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14A"/>
    <w:rsid w:val="001B3A5E"/>
    <w:rsid w:val="00232306"/>
    <w:rsid w:val="002D7E64"/>
    <w:rsid w:val="003A61C4"/>
    <w:rsid w:val="004B0F42"/>
    <w:rsid w:val="004E49B9"/>
    <w:rsid w:val="004F1A6B"/>
    <w:rsid w:val="00510EF5"/>
    <w:rsid w:val="005904DB"/>
    <w:rsid w:val="005C7201"/>
    <w:rsid w:val="00616448"/>
    <w:rsid w:val="00621FD7"/>
    <w:rsid w:val="00641D53"/>
    <w:rsid w:val="00664677"/>
    <w:rsid w:val="0069688F"/>
    <w:rsid w:val="007B36BB"/>
    <w:rsid w:val="00860E00"/>
    <w:rsid w:val="00B9658D"/>
    <w:rsid w:val="00BC514A"/>
    <w:rsid w:val="00BE4E7C"/>
    <w:rsid w:val="00C64576"/>
    <w:rsid w:val="00CF194F"/>
    <w:rsid w:val="00D02B6F"/>
    <w:rsid w:val="00D64AE4"/>
    <w:rsid w:val="00DB5C18"/>
    <w:rsid w:val="00ED4C44"/>
    <w:rsid w:val="00EF6C81"/>
    <w:rsid w:val="00F8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C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C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2014-11-27T11:27:00Z</dcterms:created>
  <dcterms:modified xsi:type="dcterms:W3CDTF">2015-04-02T07:44:00Z</dcterms:modified>
</cp:coreProperties>
</file>